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line="560" w:lineRule="exact"/>
        <w:ind w:right="-143" w:rightChars="-68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2019南粤古驿道生态修复设计竞赛</w:t>
      </w:r>
    </w:p>
    <w:p>
      <w:pPr>
        <w:pStyle w:val="2"/>
        <w:adjustRightInd w:val="0"/>
        <w:spacing w:line="560" w:lineRule="exact"/>
        <w:ind w:right="-143" w:rightChars="-68"/>
        <w:jc w:val="center"/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评审办法</w:t>
      </w:r>
    </w:p>
    <w:p>
      <w:pPr>
        <w:rPr>
          <w:rFonts w:ascii="仿宋" w:hAnsi="仿宋" w:eastAsia="仿宋"/>
          <w:sz w:val="32"/>
          <w:szCs w:val="32"/>
          <w:lang w:val="zh-CN" w:bidi="zh-CN"/>
        </w:rPr>
      </w:pPr>
    </w:p>
    <w:p>
      <w:pPr>
        <w:pStyle w:val="3"/>
        <w:adjustRightInd w:val="0"/>
        <w:spacing w:line="560" w:lineRule="exact"/>
        <w:ind w:left="1339" w:right="-143" w:rightChars="-68" w:hanging="679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z w:val="32"/>
          <w:szCs w:val="32"/>
        </w:rPr>
        <w:t>、竞赛第一轮</w:t>
      </w:r>
      <w:r>
        <w:rPr>
          <w:rFonts w:hint="eastAsia" w:ascii="黑体" w:hAnsi="黑体" w:eastAsia="黑体" w:cs="黑体"/>
          <w:sz w:val="32"/>
          <w:szCs w:val="32"/>
        </w:rPr>
        <w:t>（海选）</w:t>
      </w:r>
    </w:p>
    <w:p>
      <w:pPr>
        <w:spacing w:line="560" w:lineRule="exact"/>
        <w:ind w:right="-143" w:rightChars="-68" w:firstLine="640" w:firstLineChars="200"/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（一）根据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参赛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队伍组别，专业组配5名评审专家，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高校组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配4名评审专家。</w:t>
      </w:r>
    </w:p>
    <w:p>
      <w:pPr>
        <w:spacing w:line="560" w:lineRule="exact"/>
        <w:ind w:right="-143" w:rightChars="-68" w:firstLine="640" w:firstLineChars="200"/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（二）评审分为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资质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（第一项）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和方案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（第二项）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两大类，其中资质由工作组委会评出，方案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由评审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专家</w:t>
      </w:r>
      <w:r>
        <w:rPr>
          <w:rFonts w:hint="eastAsia" w:ascii="仿宋_GB2312" w:hAnsi="仿宋_GB2312" w:eastAsia="仿宋_GB2312" w:cs="仿宋_GB2312"/>
          <w:kern w:val="0"/>
          <w:sz w:val="32"/>
          <w:szCs w:val="30"/>
          <w:lang w:val="zh-CN" w:bidi="zh-CN"/>
        </w:rPr>
        <w:t>评出</w:t>
      </w:r>
      <w:r>
        <w:rPr>
          <w:rFonts w:ascii="仿宋_GB2312" w:hAnsi="仿宋_GB2312" w:eastAsia="仿宋_GB2312" w:cs="仿宋_GB2312"/>
          <w:kern w:val="0"/>
          <w:sz w:val="32"/>
          <w:szCs w:val="30"/>
          <w:lang w:val="zh-CN" w:bidi="zh-CN"/>
        </w:rPr>
        <w:t>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（三）</w:t>
      </w:r>
      <w:r>
        <w:rPr>
          <w:rFonts w:hint="eastAsia" w:ascii="仿宋" w:hAnsi="仿宋" w:eastAsia="仿宋"/>
          <w:sz w:val="32"/>
        </w:rPr>
        <w:t>工作组委会</w:t>
      </w:r>
      <w:r>
        <w:rPr>
          <w:rFonts w:ascii="仿宋" w:hAnsi="仿宋" w:eastAsia="仿宋"/>
          <w:sz w:val="32"/>
        </w:rPr>
        <w:t>收集参赛作品评出第一项评分，</w:t>
      </w:r>
      <w:r>
        <w:rPr>
          <w:rFonts w:hint="eastAsia" w:ascii="仿宋" w:hAnsi="仿宋" w:eastAsia="仿宋"/>
          <w:sz w:val="32"/>
        </w:rPr>
        <w:t>后送交至</w:t>
      </w:r>
      <w:r>
        <w:rPr>
          <w:rFonts w:ascii="仿宋" w:hAnsi="仿宋" w:eastAsia="仿宋"/>
          <w:sz w:val="32"/>
        </w:rPr>
        <w:t>各</w:t>
      </w:r>
      <w:r>
        <w:rPr>
          <w:rFonts w:hint="eastAsia" w:ascii="仿宋" w:hAnsi="仿宋" w:eastAsia="仿宋"/>
          <w:sz w:val="32"/>
        </w:rPr>
        <w:t>评审专家，</w:t>
      </w:r>
      <w:r>
        <w:rPr>
          <w:rFonts w:ascii="仿宋" w:hAnsi="仿宋" w:eastAsia="仿宋"/>
          <w:sz w:val="32"/>
        </w:rPr>
        <w:t>评审专家</w:t>
      </w:r>
      <w:r>
        <w:rPr>
          <w:rFonts w:hint="eastAsia" w:ascii="仿宋" w:hAnsi="仿宋" w:eastAsia="仿宋"/>
          <w:sz w:val="32"/>
        </w:rPr>
        <w:t>评审出</w:t>
      </w:r>
      <w:r>
        <w:rPr>
          <w:rFonts w:ascii="仿宋" w:hAnsi="仿宋" w:eastAsia="仿宋"/>
          <w:sz w:val="32"/>
        </w:rPr>
        <w:t>第二项评分</w:t>
      </w:r>
      <w:r>
        <w:rPr>
          <w:rFonts w:hint="eastAsia" w:ascii="仿宋" w:hAnsi="仿宋" w:eastAsia="仿宋"/>
          <w:sz w:val="32"/>
        </w:rPr>
        <w:t>，取其综合算术平均分作为</w:t>
      </w:r>
      <w:r>
        <w:rPr>
          <w:rFonts w:ascii="仿宋" w:hAnsi="仿宋" w:eastAsia="仿宋"/>
          <w:sz w:val="32"/>
        </w:rPr>
        <w:t>参赛队伍的最终得分</w:t>
      </w:r>
      <w:r>
        <w:rPr>
          <w:rFonts w:hint="eastAsia" w:ascii="仿宋" w:hAnsi="仿宋" w:eastAsia="仿宋"/>
          <w:sz w:val="32"/>
        </w:rPr>
        <w:t>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（四）</w:t>
      </w:r>
      <w:r>
        <w:rPr>
          <w:rFonts w:hint="eastAsia" w:ascii="仿宋" w:hAnsi="仿宋" w:eastAsia="仿宋"/>
          <w:sz w:val="32"/>
        </w:rPr>
        <w:t>工作组委会</w:t>
      </w:r>
      <w:r>
        <w:rPr>
          <w:rFonts w:ascii="仿宋" w:hAnsi="仿宋" w:eastAsia="仿宋"/>
          <w:sz w:val="32"/>
        </w:rPr>
        <w:t>对参赛队伍最终得分进行排序，各组中排名前十的队伍进入竞赛第二轮。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（五）</w:t>
      </w:r>
      <w:r>
        <w:rPr>
          <w:rFonts w:ascii="仿宋" w:hAnsi="仿宋" w:eastAsia="仿宋"/>
          <w:sz w:val="32"/>
        </w:rPr>
        <w:t>评分标准</w:t>
      </w:r>
      <w:r>
        <w:rPr>
          <w:rFonts w:hint="eastAsia" w:ascii="仿宋" w:hAnsi="仿宋" w:eastAsia="仿宋"/>
          <w:sz w:val="32"/>
        </w:rPr>
        <w:t>：（总分100分）</w:t>
      </w:r>
    </w:p>
    <w:p>
      <w:pPr>
        <w:spacing w:line="560" w:lineRule="exact"/>
        <w:ind w:left="0" w:leftChars="0" w:right="-143" w:rightChars="-68" w:firstLine="0" w:firstLineChars="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专业组</w:t>
      </w:r>
    </w:p>
    <w:tbl>
      <w:tblPr>
        <w:tblStyle w:val="7"/>
        <w:tblW w:w="8280" w:type="dxa"/>
        <w:jc w:val="center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777"/>
        <w:gridCol w:w="1231"/>
        <w:gridCol w:w="3069"/>
        <w:gridCol w:w="12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分类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参赛队员职称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正高级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副高级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参赛队员专业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与生态修复相关，如工学、理学等专业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完全不相关，如文学、历史学、广播学等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参赛队员相关获奖等级</w:t>
            </w:r>
          </w:p>
        </w:tc>
        <w:tc>
          <w:tcPr>
            <w:tcW w:w="1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国家级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设计理念独特新颖，创新点突出，体现参赛者的创新能力与解决问题的能力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问题识别能力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能够对问题有一定的准确认识能力，较好的分析问题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生态修复理念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遵循人与自然和谐相处，做到以自然修复为主，与人工修复相结合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生态修复措施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运用措施合理，能够有效指导地方实施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设计表现图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思路清晰，视觉美观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-143" w:rightChars="-68"/>
        <w:rPr>
          <w:rFonts w:ascii="仿宋" w:hAnsi="仿宋" w:eastAsia="仿宋"/>
          <w:sz w:val="24"/>
        </w:rPr>
      </w:pPr>
    </w:p>
    <w:p>
      <w:pPr>
        <w:spacing w:line="560" w:lineRule="exact"/>
        <w:ind w:right="-143" w:rightChars="-68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高校组</w:t>
      </w:r>
    </w:p>
    <w:tbl>
      <w:tblPr>
        <w:tblStyle w:val="7"/>
        <w:tblW w:w="8360" w:type="dxa"/>
        <w:jc w:val="center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1134"/>
        <w:gridCol w:w="3105"/>
        <w:gridCol w:w="12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参赛队员专业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与生态修复相关，如工学、理学等专业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完全不相关，如文学、历史学、广播学等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参赛队员曾获奖等级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省级及以上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区级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设计理念独特新颖，创新点突出，体现参赛者的创新能力与解决问题的能力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问题识别能力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能够对问题有一定的准确识能力，较好的分析问题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生态修复理念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遵循人与自然和谐相处，理念具有先进性和前瞻性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生态修复措施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运用措施合理，较好的结合自然与人工措施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设计表现图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3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思路清晰，视觉美观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-143" w:rightChars="-68"/>
        <w:jc w:val="center"/>
        <w:rPr>
          <w:rFonts w:ascii="仿宋" w:hAnsi="仿宋" w:eastAsia="仿宋"/>
        </w:rPr>
      </w:pPr>
    </w:p>
    <w:p>
      <w:pPr>
        <w:pStyle w:val="3"/>
        <w:adjustRightInd w:val="0"/>
        <w:spacing w:line="560" w:lineRule="exact"/>
        <w:ind w:left="1339" w:right="-143" w:rightChars="-68" w:hanging="679"/>
        <w:jc w:val="both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</w:t>
      </w:r>
      <w:r>
        <w:rPr>
          <w:rFonts w:ascii="黑体" w:hAnsi="黑体" w:eastAsia="黑体" w:cs="黑体"/>
          <w:b/>
          <w:sz w:val="32"/>
          <w:szCs w:val="32"/>
        </w:rPr>
        <w:t>、竞赛第</w:t>
      </w:r>
      <w:r>
        <w:rPr>
          <w:rFonts w:hint="eastAsia" w:ascii="黑体" w:hAnsi="黑体" w:eastAsia="黑体" w:cs="黑体"/>
          <w:b/>
          <w:sz w:val="32"/>
          <w:szCs w:val="32"/>
        </w:rPr>
        <w:t>二</w:t>
      </w:r>
      <w:r>
        <w:rPr>
          <w:rFonts w:ascii="黑体" w:hAnsi="黑体" w:eastAsia="黑体" w:cs="黑体"/>
          <w:b/>
          <w:sz w:val="32"/>
          <w:szCs w:val="32"/>
        </w:rPr>
        <w:t>轮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竞赛第二轮实行</w:t>
      </w:r>
      <w:r>
        <w:rPr>
          <w:rFonts w:ascii="仿宋" w:hAnsi="仿宋" w:eastAsia="仿宋"/>
          <w:sz w:val="32"/>
          <w:szCs w:val="32"/>
        </w:rPr>
        <w:t>百分制，</w:t>
      </w:r>
      <w:r>
        <w:rPr>
          <w:rFonts w:hint="eastAsia" w:ascii="仿宋" w:hAnsi="仿宋" w:eastAsia="仿宋"/>
          <w:sz w:val="32"/>
          <w:szCs w:val="32"/>
        </w:rPr>
        <w:t>分为现场答辩（30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）、</w:t>
      </w:r>
      <w:r>
        <w:rPr>
          <w:rFonts w:ascii="仿宋" w:hAnsi="仿宋" w:eastAsia="仿宋"/>
          <w:sz w:val="32"/>
          <w:szCs w:val="32"/>
        </w:rPr>
        <w:t>结果提交</w:t>
      </w:r>
      <w:r>
        <w:rPr>
          <w:rFonts w:hint="eastAsia" w:ascii="仿宋" w:hAnsi="仿宋" w:eastAsia="仿宋"/>
          <w:sz w:val="32"/>
          <w:szCs w:val="32"/>
        </w:rPr>
        <w:t>评审（60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、网上投票</w:t>
      </w:r>
      <w:r>
        <w:rPr>
          <w:rFonts w:hint="eastAsia" w:ascii="仿宋" w:hAnsi="仿宋" w:eastAsia="仿宋"/>
          <w:sz w:val="32"/>
          <w:szCs w:val="32"/>
        </w:rPr>
        <w:t>（10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三个</w:t>
      </w:r>
      <w:r>
        <w:rPr>
          <w:rFonts w:hint="eastAsia" w:ascii="仿宋" w:hAnsi="仿宋" w:eastAsia="仿宋"/>
          <w:sz w:val="32"/>
          <w:szCs w:val="32"/>
        </w:rPr>
        <w:t>环节。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现场答辩（30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评审专家根据参赛团队答辩情况进行打分，每支参赛团队陈述时间不超过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分钟，评委问答时间不超过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计算所有评分项的算术平均分，得出参赛队伍的最终得分。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评分标准</w:t>
      </w:r>
      <w:r>
        <w:rPr>
          <w:rFonts w:ascii="仿宋" w:hAnsi="仿宋" w:eastAsia="仿宋"/>
          <w:sz w:val="32"/>
          <w:szCs w:val="32"/>
        </w:rPr>
        <w:t>：（</w:t>
      </w:r>
      <w:r>
        <w:rPr>
          <w:rFonts w:hint="eastAsia" w:ascii="仿宋" w:hAnsi="仿宋" w:eastAsia="仿宋"/>
          <w:sz w:val="32"/>
          <w:szCs w:val="32"/>
        </w:rPr>
        <w:t>30分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spacing w:line="560" w:lineRule="exact"/>
        <w:ind w:left="0" w:leftChars="0" w:right="-143" w:rightChars="-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专业组</w:t>
      </w:r>
    </w:p>
    <w:tbl>
      <w:tblPr>
        <w:tblStyle w:val="7"/>
        <w:tblW w:w="77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19"/>
        <w:gridCol w:w="3266"/>
        <w:gridCol w:w="1096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评审要点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评分项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生态修复设计理念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遵循人与自然和谐相处，做到以自然修复为主，与人工修复相结合，同时体现科学、技术、工程、美学、数学等要素。体现科学性和科技含量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生态修复设计原则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根据古驿道线路的自然及人文环境特异性因地制宜，具体问题具体分析。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设计需符合系统性原则，按生态系统自身的演替规律，分步骤、分阶段进行，做到循序渐进。生态修复应在生态系统层次上展开，要有系统思想。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生态修复措施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要求方案措施实施做到经济可行、技术措施可行。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生态修复设计措施成本估算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生态修复设计措施成本估算依据充分合理。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生态修复设计图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生态修复设计的参照系及目标准确，设计思路和措施清晰。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设计理念独特新颖，设计方案创新点突出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2分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-143" w:rightChars="-68"/>
        <w:rPr>
          <w:rFonts w:ascii="仿宋" w:hAnsi="仿宋" w:eastAsia="仿宋"/>
          <w:sz w:val="24"/>
        </w:rPr>
      </w:pPr>
    </w:p>
    <w:p>
      <w:pPr>
        <w:spacing w:line="560" w:lineRule="exact"/>
        <w:ind w:right="-143" w:rightChars="-68"/>
        <w:rPr>
          <w:rFonts w:ascii="仿宋" w:hAnsi="仿宋" w:eastAsia="仿宋"/>
          <w:sz w:val="24"/>
        </w:rPr>
      </w:pPr>
    </w:p>
    <w:p>
      <w:pPr>
        <w:spacing w:line="560" w:lineRule="exact"/>
        <w:ind w:right="-143" w:rightChars="-68" w:firstLine="640" w:firstLineChars="200"/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高校组</w:t>
      </w:r>
    </w:p>
    <w:tbl>
      <w:tblPr>
        <w:tblStyle w:val="7"/>
        <w:tblW w:w="77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50"/>
        <w:gridCol w:w="3266"/>
        <w:gridCol w:w="1096"/>
        <w:gridCol w:w="1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评审要点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评分项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生态修复设计理念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遵循人与自然和谐相处，做到以自然修复为主，与人工修复相结合，同时体现科学、技术、工程、美学、数学等要素。体现与国际接轨，并具有前瞻性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生态修复设计原则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根据古驿道线路的自然及人文环境特异性因地制宜，具体问题具体分析。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设计需符合系统性原则，按生态系统自身的演替规律，分步骤、分阶段进行，做到循序渐进。生态修复应在生态系统层次上展开，要有系统思想。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生态修复措施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要求方案措施实施体现科学性和系统性。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生态修复设计措施成本估算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生态修复设计措施成本估算依据充分合理。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生态修复设计图</w:t>
            </w:r>
          </w:p>
        </w:tc>
        <w:tc>
          <w:tcPr>
            <w:tcW w:w="3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生态修复设计的参照系及目标准确，设计思路和措施清晰。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5分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创新性</w:t>
            </w: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设计理念独特新颖，设计方案创新点突出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-143" w:rightChars="-68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ind w:right="-143" w:rightChars="-68" w:firstLine="480" w:firstLineChars="200"/>
        <w:rPr>
          <w:rFonts w:ascii="仿宋" w:hAnsi="仿宋" w:eastAsia="仿宋"/>
          <w:sz w:val="24"/>
        </w:rPr>
      </w:pP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（二）</w:t>
      </w:r>
      <w:r>
        <w:rPr>
          <w:rFonts w:ascii="仿宋" w:hAnsi="仿宋" w:eastAsia="仿宋"/>
          <w:sz w:val="32"/>
        </w:rPr>
        <w:t>结果提交</w:t>
      </w:r>
      <w:r>
        <w:rPr>
          <w:rFonts w:hint="eastAsia" w:ascii="仿宋" w:hAnsi="仿宋" w:eastAsia="仿宋"/>
          <w:sz w:val="32"/>
        </w:rPr>
        <w:t>（60</w:t>
      </w:r>
      <w:r>
        <w:rPr>
          <w:rFonts w:ascii="仿宋" w:hAnsi="仿宋" w:eastAsia="仿宋"/>
          <w:sz w:val="32"/>
        </w:rPr>
        <w:t>%</w:t>
      </w:r>
      <w:r>
        <w:rPr>
          <w:rFonts w:hint="eastAsia" w:ascii="仿宋" w:hAnsi="仿宋" w:eastAsia="仿宋"/>
          <w:sz w:val="32"/>
        </w:rPr>
        <w:t>）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1.</w:t>
      </w:r>
      <w:r>
        <w:rPr>
          <w:rFonts w:hint="eastAsia" w:ascii="仿宋" w:hAnsi="仿宋" w:eastAsia="仿宋"/>
          <w:sz w:val="32"/>
        </w:rPr>
        <w:t>评审专家共计5</w:t>
      </w:r>
      <w:r>
        <w:rPr>
          <w:rFonts w:ascii="仿宋" w:hAnsi="仿宋" w:eastAsia="仿宋"/>
          <w:sz w:val="32"/>
        </w:rPr>
        <w:t>-7</w:t>
      </w:r>
      <w:r>
        <w:rPr>
          <w:rFonts w:hint="eastAsia" w:ascii="仿宋" w:hAnsi="仿宋" w:eastAsia="仿宋"/>
          <w:sz w:val="32"/>
        </w:rPr>
        <w:t>名</w:t>
      </w:r>
      <w:r>
        <w:rPr>
          <w:rFonts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</w:rPr>
        <w:t>根据参赛团队提交</w:t>
      </w:r>
      <w:r>
        <w:rPr>
          <w:rFonts w:ascii="仿宋" w:hAnsi="仿宋" w:eastAsia="仿宋"/>
          <w:sz w:val="32"/>
        </w:rPr>
        <w:t>模型</w:t>
      </w:r>
      <w:r>
        <w:rPr>
          <w:rFonts w:hint="eastAsia" w:ascii="仿宋" w:hAnsi="仿宋" w:eastAsia="仿宋"/>
          <w:sz w:val="32"/>
        </w:rPr>
        <w:t>、</w:t>
      </w:r>
      <w:r>
        <w:rPr>
          <w:rFonts w:ascii="仿宋" w:hAnsi="仿宋" w:eastAsia="仿宋"/>
          <w:sz w:val="32"/>
        </w:rPr>
        <w:t>展板、</w:t>
      </w:r>
      <w:r>
        <w:rPr>
          <w:rFonts w:hint="eastAsia" w:ascii="仿宋" w:hAnsi="仿宋" w:eastAsia="仿宋"/>
          <w:sz w:val="32"/>
        </w:rPr>
        <w:t>方案进行打分。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2.</w:t>
      </w:r>
      <w:r>
        <w:rPr>
          <w:rFonts w:hint="eastAsia" w:ascii="仿宋" w:hAnsi="仿宋" w:eastAsia="仿宋"/>
          <w:sz w:val="32"/>
        </w:rPr>
        <w:t>计算所有评分项的算术平均分，得出参赛队伍的最终得分。</w:t>
      </w:r>
    </w:p>
    <w:p>
      <w:pPr>
        <w:spacing w:line="560" w:lineRule="exact"/>
        <w:ind w:right="-143" w:rightChars="-68"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3.</w:t>
      </w:r>
      <w:r>
        <w:rPr>
          <w:rFonts w:hint="eastAsia" w:ascii="仿宋" w:hAnsi="仿宋" w:eastAsia="仿宋"/>
          <w:sz w:val="32"/>
        </w:rPr>
        <w:t>评分标准：（</w:t>
      </w:r>
      <w:r>
        <w:rPr>
          <w:rFonts w:ascii="仿宋" w:hAnsi="仿宋" w:eastAsia="仿宋"/>
          <w:sz w:val="32"/>
        </w:rPr>
        <w:t>6</w:t>
      </w:r>
      <w:r>
        <w:rPr>
          <w:rFonts w:hint="eastAsia" w:ascii="仿宋" w:hAnsi="仿宋" w:eastAsia="仿宋"/>
          <w:sz w:val="32"/>
        </w:rPr>
        <w:t>0分）</w:t>
      </w:r>
    </w:p>
    <w:p>
      <w:pPr>
        <w:spacing w:line="560" w:lineRule="exact"/>
        <w:ind w:right="-143" w:rightChars="-68" w:firstLine="640" w:firstLineChars="200"/>
        <w:rPr>
          <w:rFonts w:hint="eastAsia" w:ascii="仿宋" w:hAnsi="仿宋" w:eastAsia="仿宋"/>
          <w:sz w:val="32"/>
        </w:rPr>
      </w:pP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</w:p>
    <w:tbl>
      <w:tblPr>
        <w:tblStyle w:val="7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979"/>
        <w:gridCol w:w="8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ind w:right="-143" w:rightChars="-68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评分内容</w:t>
            </w: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center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评分细则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120" w:firstLineChars="50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等次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361" w:firstLineChars="150"/>
              <w:rPr>
                <w:rFonts w:ascii="仿宋" w:hAnsi="仿宋" w:eastAsia="仿宋"/>
                <w:b/>
                <w:bCs/>
                <w:sz w:val="24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ind w:right="-143" w:rightChars="-68" w:firstLine="44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模型</w:t>
            </w: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 xml:space="preserve">A. </w:t>
            </w:r>
            <w:r>
              <w:rPr>
                <w:rFonts w:hint="eastAsia" w:ascii="仿宋" w:hAnsi="仿宋" w:eastAsia="仿宋"/>
                <w:sz w:val="24"/>
                <w:szCs w:val="21"/>
              </w:rPr>
              <w:t>模型</w:t>
            </w:r>
            <w:r>
              <w:rPr>
                <w:rFonts w:ascii="仿宋" w:hAnsi="仿宋" w:eastAsia="仿宋"/>
                <w:sz w:val="24"/>
                <w:szCs w:val="21"/>
              </w:rPr>
              <w:t>整体效果最能反映现状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B.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模型</w:t>
            </w:r>
            <w:r>
              <w:rPr>
                <w:rFonts w:ascii="仿宋" w:hAnsi="仿宋" w:eastAsia="仿宋"/>
                <w:sz w:val="24"/>
                <w:szCs w:val="21"/>
              </w:rPr>
              <w:t>整体效果较好反映现状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1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C.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模型</w:t>
            </w:r>
            <w:r>
              <w:rPr>
                <w:rFonts w:ascii="仿宋" w:hAnsi="仿宋" w:eastAsia="仿宋"/>
                <w:sz w:val="24"/>
                <w:szCs w:val="21"/>
              </w:rPr>
              <w:t>整体效果基本能反映现状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21"/>
              </w:rPr>
              <w:t>D.</w:t>
            </w:r>
            <w:r>
              <w:rPr>
                <w:rFonts w:hint="eastAsia" w:ascii="仿宋" w:hAnsi="仿宋" w:eastAsia="仿宋"/>
                <w:sz w:val="24"/>
                <w:szCs w:val="21"/>
              </w:rPr>
              <w:t xml:space="preserve"> 模型</w:t>
            </w:r>
            <w:r>
              <w:rPr>
                <w:rFonts w:ascii="仿宋" w:hAnsi="仿宋" w:eastAsia="仿宋"/>
                <w:sz w:val="24"/>
                <w:szCs w:val="21"/>
              </w:rPr>
              <w:t>整体效果反映现状一般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ind w:right="-143" w:rightChars="-68" w:firstLine="44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 xml:space="preserve">A. 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工程和</w:t>
            </w:r>
            <w:r>
              <w:rPr>
                <w:rFonts w:ascii="仿宋" w:hAnsi="仿宋" w:eastAsia="仿宋"/>
                <w:sz w:val="24"/>
                <w:szCs w:val="18"/>
              </w:rPr>
              <w:t>植被修复措施很好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B.</w:t>
            </w:r>
            <w:r>
              <w:rPr>
                <w:rFonts w:hint="eastAsia" w:ascii="仿宋" w:hAnsi="仿宋" w:eastAsia="仿宋"/>
                <w:sz w:val="24"/>
                <w:szCs w:val="18"/>
              </w:rPr>
              <w:t xml:space="preserve"> 工程和</w:t>
            </w:r>
            <w:r>
              <w:rPr>
                <w:rFonts w:ascii="仿宋" w:hAnsi="仿宋" w:eastAsia="仿宋"/>
                <w:sz w:val="24"/>
                <w:szCs w:val="18"/>
              </w:rPr>
              <w:t>植被修复措施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较</w:t>
            </w:r>
            <w:r>
              <w:rPr>
                <w:rFonts w:ascii="仿宋" w:hAnsi="仿宋" w:eastAsia="仿宋"/>
                <w:sz w:val="24"/>
                <w:szCs w:val="18"/>
              </w:rPr>
              <w:t>好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C.</w:t>
            </w:r>
            <w:r>
              <w:rPr>
                <w:rFonts w:hint="eastAsia" w:ascii="仿宋" w:hAnsi="仿宋" w:eastAsia="仿宋"/>
                <w:sz w:val="24"/>
                <w:szCs w:val="18"/>
              </w:rPr>
              <w:t xml:space="preserve"> 工程和</w:t>
            </w:r>
            <w:r>
              <w:rPr>
                <w:rFonts w:ascii="仿宋" w:hAnsi="仿宋" w:eastAsia="仿宋"/>
                <w:sz w:val="24"/>
                <w:szCs w:val="18"/>
              </w:rPr>
              <w:t>植被修复措施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基本可行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18"/>
              </w:rPr>
            </w:pPr>
            <w:r>
              <w:rPr>
                <w:rFonts w:ascii="仿宋" w:hAnsi="仿宋" w:eastAsia="仿宋"/>
                <w:sz w:val="24"/>
                <w:szCs w:val="18"/>
              </w:rPr>
              <w:t>D.</w:t>
            </w:r>
            <w:r>
              <w:rPr>
                <w:rFonts w:hint="eastAsia" w:ascii="仿宋" w:hAnsi="仿宋" w:eastAsia="仿宋"/>
                <w:sz w:val="24"/>
                <w:szCs w:val="18"/>
              </w:rPr>
              <w:t xml:space="preserve"> 工程和</w:t>
            </w:r>
            <w:r>
              <w:rPr>
                <w:rFonts w:ascii="仿宋" w:hAnsi="仿宋" w:eastAsia="仿宋"/>
                <w:sz w:val="24"/>
                <w:szCs w:val="18"/>
              </w:rPr>
              <w:t>植被修复措施</w:t>
            </w:r>
            <w:r>
              <w:rPr>
                <w:rFonts w:hint="eastAsia" w:ascii="仿宋" w:hAnsi="仿宋" w:eastAsia="仿宋"/>
                <w:sz w:val="24"/>
                <w:szCs w:val="18"/>
              </w:rPr>
              <w:t>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ind w:right="-143" w:rightChars="-68" w:firstLine="44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A.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比例标注最准确，整体最美观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B.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比例标注比较准确，整体比较美观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C.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比例标注基本准确，整体基本美观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D.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比例标注一般，整体美观一般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>
            <w:pPr>
              <w:ind w:right="-143" w:rightChars="-68" w:firstLine="44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展板</w:t>
            </w: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A.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设计范围最明确，现状分析最准确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B.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设计范围比较明确，现状分析比较准确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C.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设计范围基本明确，现状分析基本准确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D.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设计范围明确一般，现状分析准确一般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vMerge w:val="continue"/>
            <w:shd w:val="clear" w:color="auto" w:fill="auto"/>
            <w:vAlign w:val="center"/>
          </w:tcPr>
          <w:p>
            <w:pPr>
              <w:ind w:right="-143" w:rightChars="-68" w:firstLine="440"/>
              <w:jc w:val="center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A.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展板最能全面反映设计理念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B.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展板比较能全面反映设计理念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C.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展板基本能全面反映设计理念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D.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展板反映设计理念一般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ind w:right="-143" w:rightChars="-68" w:firstLine="440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方案</w:t>
            </w: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A.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方案</w:t>
            </w:r>
            <w:r>
              <w:rPr>
                <w:rFonts w:ascii="仿宋" w:hAnsi="仿宋" w:eastAsia="仿宋"/>
                <w:sz w:val="24"/>
                <w:szCs w:val="28"/>
              </w:rPr>
              <w:t>编写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非常</w:t>
            </w:r>
            <w:r>
              <w:rPr>
                <w:rFonts w:ascii="仿宋" w:hAnsi="仿宋" w:eastAsia="仿宋"/>
                <w:sz w:val="24"/>
                <w:szCs w:val="28"/>
              </w:rPr>
              <w:t>规范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B.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方案编写</w:t>
            </w:r>
            <w:r>
              <w:rPr>
                <w:rFonts w:ascii="仿宋" w:hAnsi="仿宋" w:eastAsia="仿宋"/>
                <w:sz w:val="24"/>
                <w:szCs w:val="28"/>
              </w:rPr>
              <w:t>较规范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C.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方案编写基本规范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D.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方案编写一般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13" w:type="dxa"/>
            <w:shd w:val="clear" w:color="auto" w:fill="auto"/>
            <w:vAlign w:val="center"/>
          </w:tcPr>
          <w:p>
            <w:pPr>
              <w:ind w:right="-143" w:rightChars="-68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预期效果评估及工程概预算</w:t>
            </w:r>
          </w:p>
        </w:tc>
        <w:tc>
          <w:tcPr>
            <w:tcW w:w="4979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A.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生态效果评估及工程概预算准确可行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B.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生态效果评估及工程概预算较好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C.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生态效果评估及工程概预算基本可行</w:t>
            </w:r>
          </w:p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D.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生态效果评估及工程概预算表现一般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right="-143" w:rightChars="-68" w:firstLine="440"/>
              <w:jc w:val="left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spacing w:line="560" w:lineRule="exact"/>
        <w:ind w:right="-143" w:rightChars="-68" w:firstLine="482" w:firstLineChars="200"/>
        <w:rPr>
          <w:rFonts w:hint="eastAsia" w:ascii="仿宋" w:hAnsi="仿宋" w:eastAsia="仿宋"/>
          <w:sz w:val="24"/>
          <w:szCs w:val="20"/>
          <w:lang w:val="en-US" w:eastAsia="zh-CN"/>
        </w:rPr>
      </w:pPr>
      <w:r>
        <w:rPr>
          <w:rFonts w:hint="eastAsia" w:ascii="仿宋" w:hAnsi="仿宋" w:eastAsia="仿宋"/>
          <w:b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0"/>
          <w:lang w:val="en-US" w:eastAsia="zh-CN"/>
        </w:rPr>
        <w:t>评分等次说明</w:t>
      </w:r>
    </w:p>
    <w:p>
      <w:pPr>
        <w:spacing w:line="560" w:lineRule="exact"/>
        <w:ind w:right="-143" w:rightChars="-68" w:firstLine="480" w:firstLineChars="200"/>
        <w:rPr>
          <w:rFonts w:hint="eastAsia" w:ascii="仿宋" w:hAnsi="仿宋" w:eastAsia="仿宋"/>
          <w:sz w:val="24"/>
          <w:szCs w:val="20"/>
          <w:lang w:val="en-US" w:eastAsia="zh-CN"/>
        </w:rPr>
      </w:pPr>
      <w:r>
        <w:rPr>
          <w:rFonts w:hint="eastAsia" w:ascii="仿宋" w:hAnsi="仿宋" w:eastAsia="仿宋"/>
          <w:sz w:val="24"/>
          <w:szCs w:val="20"/>
          <w:lang w:val="en-US" w:eastAsia="zh-CN"/>
        </w:rPr>
        <w:t>一等：57分—60分（至少6个A）；二等：54分—57分（至少5个A）；三等：48分—54分（至少4个A）；四等36分—48分（至少3个A）</w:t>
      </w:r>
    </w:p>
    <w:p>
      <w:pPr>
        <w:spacing w:line="560" w:lineRule="exact"/>
        <w:ind w:right="-143" w:rightChars="-68" w:firstLine="420" w:firstLineChars="200"/>
        <w:rPr>
          <w:rFonts w:ascii="仿宋" w:hAnsi="仿宋" w:eastAsia="仿宋"/>
          <w:szCs w:val="21"/>
        </w:rPr>
      </w:pPr>
    </w:p>
    <w:p>
      <w:pPr>
        <w:spacing w:line="560" w:lineRule="exact"/>
        <w:ind w:right="-143" w:rightChars="-68" w:firstLine="48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（三）</w:t>
      </w:r>
      <w:r>
        <w:rPr>
          <w:rFonts w:hint="eastAsia" w:ascii="仿宋" w:hAnsi="仿宋" w:eastAsia="仿宋"/>
          <w:sz w:val="32"/>
        </w:rPr>
        <w:t>网上投票（</w:t>
      </w:r>
      <w:r>
        <w:rPr>
          <w:rFonts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</w:rPr>
        <w:t>0</w:t>
      </w:r>
      <w:r>
        <w:rPr>
          <w:rFonts w:ascii="仿宋" w:hAnsi="仿宋" w:eastAsia="仿宋"/>
          <w:sz w:val="32"/>
        </w:rPr>
        <w:t>%</w:t>
      </w:r>
      <w:r>
        <w:rPr>
          <w:rFonts w:hint="eastAsia" w:ascii="仿宋" w:hAnsi="仿宋" w:eastAsia="仿宋"/>
          <w:sz w:val="32"/>
        </w:rPr>
        <w:t>）</w:t>
      </w:r>
      <w:bookmarkStart w:id="0" w:name="_GoBack"/>
      <w:bookmarkEnd w:id="0"/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根据最终</w:t>
      </w:r>
      <w:r>
        <w:rPr>
          <w:rFonts w:ascii="仿宋" w:hAnsi="仿宋" w:eastAsia="仿宋"/>
          <w:sz w:val="32"/>
        </w:rPr>
        <w:t>投票排名顺序</w:t>
      </w:r>
      <w:r>
        <w:rPr>
          <w:rFonts w:hint="eastAsia" w:ascii="仿宋" w:hAnsi="仿宋" w:eastAsia="仿宋"/>
          <w:sz w:val="32"/>
        </w:rPr>
        <w:t>计分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超过一定的网络投票数后，根据参赛队伍网络投票获得票数排名，第1名记10分，2、3名记9分，4-6名记8分，余下名次记7分。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</w:p>
    <w:tbl>
      <w:tblPr>
        <w:tblStyle w:val="7"/>
        <w:tblW w:w="62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949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票数排名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参赛队伍名称（专业组/高校组）</w:t>
            </w: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31" w:type="dxa"/>
            <w:shd w:val="clear" w:color="auto" w:fill="auto"/>
          </w:tcPr>
          <w:p>
            <w:pPr>
              <w:ind w:right="-143" w:rightChars="-68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......</w:t>
            </w:r>
          </w:p>
        </w:tc>
        <w:tc>
          <w:tcPr>
            <w:tcW w:w="2949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>
            <w:pPr>
              <w:ind w:right="-143" w:rightChars="-6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</w:tr>
    </w:tbl>
    <w:p>
      <w:pPr>
        <w:spacing w:line="560" w:lineRule="exact"/>
        <w:ind w:right="-143" w:rightChars="-68" w:firstLine="480" w:firstLineChars="200"/>
        <w:rPr>
          <w:rFonts w:ascii="仿宋" w:hAnsi="仿宋" w:eastAsia="仿宋"/>
          <w:sz w:val="24"/>
        </w:rPr>
      </w:pP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4．评审计分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队伍总成绩=现场答辩分数+结果提交评审分数+网上投票分数</w:t>
      </w:r>
    </w:p>
    <w:p>
      <w:pPr>
        <w:spacing w:line="560" w:lineRule="exact"/>
        <w:ind w:right="-143" w:rightChars="-68" w:firstLine="640" w:firstLineChars="200"/>
        <w:rPr>
          <w:rFonts w:ascii="仿宋" w:hAnsi="仿宋" w:eastAsia="仿宋"/>
          <w:sz w:val="32"/>
        </w:rPr>
      </w:pPr>
    </w:p>
    <w:sectPr>
      <w:pgSz w:w="11906" w:h="16838"/>
      <w:pgMar w:top="1984" w:right="1474" w:bottom="1984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85"/>
    <w:rsid w:val="0006738A"/>
    <w:rsid w:val="00173051"/>
    <w:rsid w:val="00244D9E"/>
    <w:rsid w:val="003158C2"/>
    <w:rsid w:val="003C2F38"/>
    <w:rsid w:val="004A2254"/>
    <w:rsid w:val="0054471A"/>
    <w:rsid w:val="00563903"/>
    <w:rsid w:val="00571172"/>
    <w:rsid w:val="005A4AA8"/>
    <w:rsid w:val="00650705"/>
    <w:rsid w:val="00681C21"/>
    <w:rsid w:val="007948AA"/>
    <w:rsid w:val="007A3760"/>
    <w:rsid w:val="007B750F"/>
    <w:rsid w:val="00800BD6"/>
    <w:rsid w:val="00824489"/>
    <w:rsid w:val="008515E4"/>
    <w:rsid w:val="009B38C0"/>
    <w:rsid w:val="009C795C"/>
    <w:rsid w:val="00A823C1"/>
    <w:rsid w:val="00B03701"/>
    <w:rsid w:val="00B2318E"/>
    <w:rsid w:val="00BF2E85"/>
    <w:rsid w:val="00C53F61"/>
    <w:rsid w:val="00C80028"/>
    <w:rsid w:val="00CC4E37"/>
    <w:rsid w:val="00D71BAA"/>
    <w:rsid w:val="00F62A55"/>
    <w:rsid w:val="0A5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spacing w:before="39"/>
      <w:ind w:left="140"/>
      <w:jc w:val="left"/>
      <w:outlineLvl w:val="0"/>
    </w:pPr>
    <w:rPr>
      <w:rFonts w:ascii="仿宋" w:hAnsi="仿宋" w:eastAsia="仿宋" w:cs="仿宋"/>
      <w:b/>
      <w:bCs/>
      <w:kern w:val="0"/>
      <w:sz w:val="30"/>
      <w:szCs w:val="30"/>
      <w:lang w:val="zh-CN" w:bidi="zh-CN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0"/>
      <w:szCs w:val="30"/>
      <w:lang w:val="zh-CN" w:bidi="zh-CN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Char"/>
    <w:basedOn w:val="6"/>
    <w:link w:val="2"/>
    <w:uiPriority w:val="1"/>
    <w:rPr>
      <w:rFonts w:ascii="仿宋" w:hAnsi="仿宋" w:eastAsia="仿宋" w:cs="仿宋"/>
      <w:b/>
      <w:bCs/>
      <w:kern w:val="0"/>
      <w:sz w:val="30"/>
      <w:szCs w:val="30"/>
      <w:lang w:val="zh-CN" w:bidi="zh-CN"/>
    </w:rPr>
  </w:style>
  <w:style w:type="character" w:customStyle="1" w:styleId="12">
    <w:name w:val="正文文本 Char"/>
    <w:basedOn w:val="6"/>
    <w:link w:val="3"/>
    <w:qFormat/>
    <w:uiPriority w:val="1"/>
    <w:rPr>
      <w:rFonts w:ascii="仿宋" w:hAnsi="仿宋" w:eastAsia="仿宋" w:cs="仿宋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417</Words>
  <Characters>2381</Characters>
  <Lines>19</Lines>
  <Paragraphs>5</Paragraphs>
  <TotalTime>29</TotalTime>
  <ScaleCrop>false</ScaleCrop>
  <LinksUpToDate>false</LinksUpToDate>
  <CharactersWithSpaces>2793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2019-08-19T18:23:00Z</dcterms:created>
  <dc:creator>tianluoluo</dc:creator>
  <cp:lastModifiedBy>未定义</cp:lastModifiedBy>
  <dcterms:modified xsi:type="dcterms:W3CDTF">2019-08-21T10:20:40Z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